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DC1C7">
      <w:pPr>
        <w:rPr>
          <w:rFonts w:hint="eastAsia" w:ascii="仿宋_GB2312" w:eastAsia="仿宋_GB2312"/>
          <w:sz w:val="32"/>
          <w:szCs w:val="32"/>
          <w:lang w:val="en-US" w:eastAsia="zh-CN"/>
        </w:rPr>
      </w:pPr>
      <w:bookmarkStart w:id="0" w:name="OLE_LINK4"/>
      <w:r>
        <w:rPr>
          <w:rFonts w:hint="eastAsia" w:ascii="仿宋_GB2312" w:eastAsia="仿宋_GB2312"/>
          <w:sz w:val="32"/>
          <w:szCs w:val="32"/>
        </w:rPr>
        <w:t>附件</w:t>
      </w:r>
      <w:r>
        <w:rPr>
          <w:rFonts w:hint="eastAsia" w:ascii="仿宋_GB2312" w:eastAsia="仿宋_GB2312"/>
          <w:sz w:val="32"/>
          <w:szCs w:val="32"/>
          <w:lang w:val="en-US" w:eastAsia="zh-CN"/>
        </w:rPr>
        <w:t>2</w:t>
      </w:r>
    </w:p>
    <w:p w14:paraId="2AF21BD9">
      <w:pPr>
        <w:rPr>
          <w:rFonts w:hint="eastAsia" w:ascii="仿宋_GB2312" w:eastAsia="仿宋_GB2312"/>
          <w:sz w:val="32"/>
          <w:szCs w:val="32"/>
          <w:lang w:val="en-US" w:eastAsia="zh-CN"/>
        </w:rPr>
      </w:pPr>
    </w:p>
    <w:p w14:paraId="59192B06">
      <w:pPr>
        <w:spacing w:line="600" w:lineRule="exact"/>
        <w:jc w:val="center"/>
        <w:rPr>
          <w:rFonts w:hint="eastAsia" w:ascii="方正小标宋简体" w:eastAsia="方正小标宋简体"/>
          <w:sz w:val="44"/>
          <w:szCs w:val="44"/>
        </w:rPr>
      </w:pPr>
      <w:bookmarkStart w:id="1" w:name="OLE_LINK2"/>
      <w:r>
        <w:rPr>
          <w:rFonts w:hint="eastAsia" w:ascii="方正小标宋简体" w:eastAsia="方正小标宋简体"/>
          <w:sz w:val="44"/>
          <w:szCs w:val="44"/>
        </w:rPr>
        <w:t>2026年辅导员</w:t>
      </w:r>
      <w:r>
        <w:rPr>
          <w:rFonts w:hint="eastAsia" w:ascii="方正小标宋简体" w:eastAsia="方正小标宋简体"/>
          <w:sz w:val="44"/>
          <w:szCs w:val="44"/>
          <w:lang w:eastAsia="zh-CN"/>
        </w:rPr>
        <w:t>工作研究</w:t>
      </w:r>
      <w:r>
        <w:rPr>
          <w:rFonts w:hint="eastAsia" w:ascii="方正小标宋简体" w:eastAsia="方正小标宋简体"/>
          <w:sz w:val="44"/>
          <w:szCs w:val="44"/>
        </w:rPr>
        <w:t>课题选题指南</w:t>
      </w:r>
    </w:p>
    <w:bookmarkEnd w:id="1"/>
    <w:p w14:paraId="17D8C846">
      <w:pPr>
        <w:spacing w:line="600" w:lineRule="exact"/>
        <w:jc w:val="center"/>
        <w:rPr>
          <w:rFonts w:hint="eastAsia"/>
          <w:sz w:val="20"/>
        </w:rPr>
      </w:pPr>
      <w:r>
        <w:rPr>
          <w:rFonts w:hint="eastAsia" w:ascii="仿宋_GB2312" w:eastAsia="仿宋_GB2312"/>
          <w:sz w:val="32"/>
          <w:szCs w:val="32"/>
        </w:rPr>
        <w:t>（参考）</w:t>
      </w:r>
    </w:p>
    <w:bookmarkEnd w:id="0"/>
    <w:tbl>
      <w:tblPr>
        <w:tblStyle w:val="10"/>
        <w:tblW w:w="0" w:type="auto"/>
        <w:tblInd w:w="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4"/>
        <w:gridCol w:w="8112"/>
      </w:tblGrid>
      <w:tr w14:paraId="58938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22642A63">
            <w:pPr>
              <w:pStyle w:val="12"/>
              <w:spacing w:before="176"/>
              <w:ind w:left="0"/>
              <w:jc w:val="center"/>
              <w:rPr>
                <w:rFonts w:hint="eastAsia" w:ascii="黑体" w:eastAsia="黑体"/>
                <w:sz w:val="24"/>
                <w:lang w:eastAsia="en-US"/>
              </w:rPr>
            </w:pPr>
            <w:bookmarkStart w:id="2" w:name="OLE_LINK1"/>
            <w:r>
              <w:rPr>
                <w:rFonts w:ascii="黑体" w:eastAsia="黑体"/>
                <w:spacing w:val="-5"/>
                <w:sz w:val="24"/>
                <w:lang w:eastAsia="en-US"/>
              </w:rPr>
              <w:t>序号</w:t>
            </w:r>
          </w:p>
        </w:tc>
        <w:tc>
          <w:tcPr>
            <w:tcW w:w="8112" w:type="dxa"/>
            <w:vAlign w:val="center"/>
          </w:tcPr>
          <w:p w14:paraId="77BAE942">
            <w:pPr>
              <w:pStyle w:val="12"/>
              <w:spacing w:before="176"/>
              <w:ind w:left="0"/>
              <w:jc w:val="center"/>
              <w:rPr>
                <w:rFonts w:hint="eastAsia" w:ascii="黑体" w:eastAsia="黑体"/>
                <w:sz w:val="24"/>
                <w:lang w:eastAsia="en-US"/>
              </w:rPr>
            </w:pPr>
            <w:r>
              <w:rPr>
                <w:rFonts w:ascii="黑体" w:eastAsia="黑体"/>
                <w:spacing w:val="-3"/>
                <w:sz w:val="24"/>
                <w:lang w:eastAsia="en-US"/>
              </w:rPr>
              <w:t>课题名称</w:t>
            </w:r>
          </w:p>
        </w:tc>
      </w:tr>
      <w:tr w14:paraId="145DB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2F785615">
            <w:pPr>
              <w:pStyle w:val="12"/>
              <w:spacing w:before="179"/>
              <w:ind w:left="41" w:firstLine="440"/>
              <w:jc w:val="both"/>
              <w:rPr>
                <w:rFonts w:hint="eastAsia" w:ascii="Times New Roman"/>
                <w:sz w:val="24"/>
                <w:lang w:eastAsia="en-US"/>
              </w:rPr>
            </w:pPr>
            <w:r>
              <w:rPr>
                <w:rFonts w:ascii="Times New Roman"/>
                <w:spacing w:val="-10"/>
                <w:sz w:val="24"/>
                <w:lang w:eastAsia="en-US"/>
              </w:rPr>
              <w:t>1</w:t>
            </w:r>
          </w:p>
        </w:tc>
        <w:tc>
          <w:tcPr>
            <w:tcW w:w="8112" w:type="dxa"/>
            <w:vAlign w:val="center"/>
          </w:tcPr>
          <w:p w14:paraId="368B2D82">
            <w:pPr>
              <w:pStyle w:val="12"/>
              <w:spacing w:before="176"/>
              <w:jc w:val="center"/>
              <w:rPr>
                <w:rFonts w:hint="eastAsia"/>
                <w:sz w:val="24"/>
                <w:lang w:eastAsia="zh-CN"/>
              </w:rPr>
            </w:pPr>
            <w:r>
              <w:rPr>
                <w:spacing w:val="-1"/>
                <w:sz w:val="24"/>
                <w:lang w:eastAsia="zh-CN"/>
              </w:rPr>
              <w:t>学好用好习近平新时代中国特色社会主义思想的世界观与方法论研究</w:t>
            </w:r>
          </w:p>
        </w:tc>
      </w:tr>
      <w:tr w14:paraId="54E99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697B4D61">
            <w:pPr>
              <w:pStyle w:val="12"/>
              <w:spacing w:before="177"/>
              <w:ind w:left="41" w:firstLine="440"/>
              <w:jc w:val="both"/>
              <w:rPr>
                <w:rFonts w:hint="eastAsia" w:ascii="Times New Roman"/>
                <w:sz w:val="24"/>
                <w:lang w:eastAsia="en-US"/>
              </w:rPr>
            </w:pPr>
            <w:r>
              <w:rPr>
                <w:rFonts w:ascii="Times New Roman"/>
                <w:spacing w:val="-10"/>
                <w:sz w:val="24"/>
                <w:lang w:eastAsia="en-US"/>
              </w:rPr>
              <w:t>2</w:t>
            </w:r>
          </w:p>
        </w:tc>
        <w:tc>
          <w:tcPr>
            <w:tcW w:w="8112" w:type="dxa"/>
            <w:vAlign w:val="center"/>
          </w:tcPr>
          <w:p w14:paraId="3A5473C1">
            <w:pPr>
              <w:pStyle w:val="12"/>
              <w:spacing w:before="176"/>
              <w:jc w:val="center"/>
              <w:rPr>
                <w:rFonts w:hint="eastAsia"/>
                <w:sz w:val="24"/>
                <w:lang w:eastAsia="zh-CN"/>
              </w:rPr>
            </w:pPr>
            <w:r>
              <w:rPr>
                <w:spacing w:val="-1"/>
                <w:sz w:val="24"/>
                <w:lang w:eastAsia="zh-CN"/>
              </w:rPr>
              <w:t>习近平文化思想引领高校文化育人实践路径研究</w:t>
            </w:r>
          </w:p>
        </w:tc>
      </w:tr>
      <w:tr w14:paraId="4B495F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1FE25207">
            <w:pPr>
              <w:pStyle w:val="12"/>
              <w:spacing w:before="177"/>
              <w:ind w:left="41" w:firstLine="440"/>
              <w:jc w:val="both"/>
              <w:rPr>
                <w:rFonts w:hint="eastAsia" w:ascii="Times New Roman"/>
                <w:sz w:val="24"/>
                <w:lang w:eastAsia="en-US"/>
              </w:rPr>
            </w:pPr>
            <w:r>
              <w:rPr>
                <w:rFonts w:ascii="Times New Roman"/>
                <w:spacing w:val="-10"/>
                <w:sz w:val="24"/>
                <w:lang w:eastAsia="en-US"/>
              </w:rPr>
              <w:t>3</w:t>
            </w:r>
          </w:p>
        </w:tc>
        <w:tc>
          <w:tcPr>
            <w:tcW w:w="8112" w:type="dxa"/>
            <w:vAlign w:val="center"/>
          </w:tcPr>
          <w:p w14:paraId="4871A811">
            <w:pPr>
              <w:pStyle w:val="12"/>
              <w:spacing w:before="176"/>
              <w:jc w:val="center"/>
              <w:rPr>
                <w:rFonts w:hint="eastAsia"/>
                <w:spacing w:val="-1"/>
                <w:sz w:val="24"/>
                <w:lang w:eastAsia="zh-CN"/>
              </w:rPr>
            </w:pPr>
            <w:r>
              <w:rPr>
                <w:spacing w:val="-1"/>
                <w:sz w:val="24"/>
                <w:lang w:eastAsia="zh-CN"/>
              </w:rPr>
              <w:t>高校辅导员推动党的创新理论入脑入心的有效路径研究</w:t>
            </w:r>
          </w:p>
        </w:tc>
      </w:tr>
      <w:tr w14:paraId="109F5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58E679F4">
            <w:pPr>
              <w:pStyle w:val="12"/>
              <w:spacing w:before="177"/>
              <w:ind w:left="41" w:firstLine="440"/>
              <w:jc w:val="both"/>
              <w:rPr>
                <w:rFonts w:hint="eastAsia" w:ascii="Times New Roman"/>
                <w:sz w:val="24"/>
                <w:lang w:eastAsia="en-US"/>
              </w:rPr>
            </w:pPr>
            <w:r>
              <w:rPr>
                <w:rFonts w:ascii="Times New Roman"/>
                <w:spacing w:val="-10"/>
                <w:sz w:val="24"/>
                <w:lang w:eastAsia="en-US"/>
              </w:rPr>
              <w:t>4</w:t>
            </w:r>
          </w:p>
        </w:tc>
        <w:tc>
          <w:tcPr>
            <w:tcW w:w="8112" w:type="dxa"/>
            <w:vAlign w:val="center"/>
          </w:tcPr>
          <w:p w14:paraId="1CE17702">
            <w:pPr>
              <w:pStyle w:val="12"/>
              <w:spacing w:before="176"/>
              <w:jc w:val="center"/>
              <w:rPr>
                <w:rFonts w:hint="eastAsia"/>
                <w:spacing w:val="-1"/>
                <w:sz w:val="24"/>
                <w:lang w:eastAsia="zh-CN"/>
              </w:rPr>
            </w:pPr>
            <w:r>
              <w:rPr>
                <w:spacing w:val="-1"/>
                <w:sz w:val="24"/>
                <w:lang w:eastAsia="zh-CN"/>
              </w:rPr>
              <w:t>新时代创新落实立德树人根本任务的路径和方法研究</w:t>
            </w:r>
          </w:p>
        </w:tc>
      </w:tr>
      <w:tr w14:paraId="37E5E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4C69351E">
            <w:pPr>
              <w:pStyle w:val="12"/>
              <w:spacing w:before="177"/>
              <w:ind w:left="41" w:firstLine="440"/>
              <w:jc w:val="both"/>
              <w:rPr>
                <w:rFonts w:hint="eastAsia" w:ascii="Times New Roman"/>
                <w:sz w:val="24"/>
                <w:lang w:eastAsia="en-US"/>
              </w:rPr>
            </w:pPr>
            <w:r>
              <w:rPr>
                <w:rFonts w:ascii="Times New Roman"/>
                <w:spacing w:val="-10"/>
                <w:sz w:val="24"/>
                <w:lang w:eastAsia="en-US"/>
              </w:rPr>
              <w:t>5</w:t>
            </w:r>
          </w:p>
        </w:tc>
        <w:tc>
          <w:tcPr>
            <w:tcW w:w="8112" w:type="dxa"/>
            <w:vAlign w:val="center"/>
          </w:tcPr>
          <w:p w14:paraId="7B2790AB">
            <w:pPr>
              <w:pStyle w:val="12"/>
              <w:spacing w:before="176"/>
              <w:jc w:val="center"/>
              <w:rPr>
                <w:rFonts w:hint="eastAsia"/>
                <w:spacing w:val="-1"/>
                <w:sz w:val="24"/>
                <w:lang w:eastAsia="zh-CN"/>
              </w:rPr>
            </w:pPr>
            <w:r>
              <w:rPr>
                <w:spacing w:val="-1"/>
                <w:sz w:val="24"/>
                <w:lang w:eastAsia="zh-CN"/>
              </w:rPr>
              <w:t>高校思想政治工作实效性评价机制研究</w:t>
            </w:r>
          </w:p>
        </w:tc>
      </w:tr>
      <w:tr w14:paraId="34E47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0A27BE94">
            <w:pPr>
              <w:pStyle w:val="12"/>
              <w:spacing w:before="179"/>
              <w:ind w:left="41" w:firstLine="440"/>
              <w:jc w:val="both"/>
              <w:rPr>
                <w:rFonts w:hint="eastAsia" w:ascii="Times New Roman"/>
                <w:sz w:val="24"/>
                <w:lang w:eastAsia="en-US"/>
              </w:rPr>
            </w:pPr>
            <w:r>
              <w:rPr>
                <w:rFonts w:ascii="Times New Roman"/>
                <w:spacing w:val="-10"/>
                <w:sz w:val="24"/>
                <w:lang w:eastAsia="en-US"/>
              </w:rPr>
              <w:t>6</w:t>
            </w:r>
          </w:p>
        </w:tc>
        <w:tc>
          <w:tcPr>
            <w:tcW w:w="8112" w:type="dxa"/>
            <w:vAlign w:val="center"/>
          </w:tcPr>
          <w:p w14:paraId="31C6DBA1">
            <w:pPr>
              <w:pStyle w:val="12"/>
              <w:spacing w:before="176"/>
              <w:jc w:val="center"/>
              <w:rPr>
                <w:rFonts w:hint="eastAsia"/>
                <w:spacing w:val="-1"/>
                <w:sz w:val="24"/>
                <w:lang w:eastAsia="zh-CN"/>
              </w:rPr>
            </w:pPr>
            <w:r>
              <w:rPr>
                <w:spacing w:val="-1"/>
                <w:sz w:val="24"/>
                <w:lang w:val="en-US" w:eastAsia="zh-CN"/>
              </w:rPr>
              <w:t>新时代高校学生心理健康教育的难点与对策研究</w:t>
            </w:r>
          </w:p>
        </w:tc>
      </w:tr>
      <w:tr w14:paraId="1E1EA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trPr>
        <w:tc>
          <w:tcPr>
            <w:tcW w:w="1164" w:type="dxa"/>
            <w:vAlign w:val="center"/>
          </w:tcPr>
          <w:p w14:paraId="3C58C580">
            <w:pPr>
              <w:pStyle w:val="12"/>
              <w:spacing w:before="177"/>
              <w:ind w:left="41" w:firstLine="440"/>
              <w:jc w:val="both"/>
              <w:rPr>
                <w:rFonts w:hint="eastAsia" w:ascii="Times New Roman"/>
                <w:sz w:val="24"/>
                <w:lang w:eastAsia="en-US"/>
              </w:rPr>
            </w:pPr>
            <w:r>
              <w:rPr>
                <w:rFonts w:ascii="Times New Roman"/>
                <w:spacing w:val="-10"/>
                <w:sz w:val="24"/>
                <w:lang w:eastAsia="en-US"/>
              </w:rPr>
              <w:t>7</w:t>
            </w:r>
          </w:p>
        </w:tc>
        <w:tc>
          <w:tcPr>
            <w:tcW w:w="8112" w:type="dxa"/>
            <w:vAlign w:val="center"/>
          </w:tcPr>
          <w:p w14:paraId="349DA062">
            <w:pPr>
              <w:pStyle w:val="12"/>
              <w:spacing w:before="176"/>
              <w:jc w:val="center"/>
              <w:rPr>
                <w:rFonts w:hint="eastAsia"/>
                <w:spacing w:val="-1"/>
                <w:sz w:val="24"/>
                <w:lang w:eastAsia="zh-CN"/>
              </w:rPr>
            </w:pPr>
            <w:r>
              <w:rPr>
                <w:spacing w:val="-1"/>
                <w:sz w:val="24"/>
                <w:lang w:eastAsia="zh-CN"/>
              </w:rPr>
              <w:t>“时代新人”视域下大学生理想信念教育常态化制度化研究</w:t>
            </w:r>
          </w:p>
        </w:tc>
      </w:tr>
      <w:tr w14:paraId="6B1F9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1164" w:type="dxa"/>
            <w:vAlign w:val="center"/>
          </w:tcPr>
          <w:p w14:paraId="188B0EE8">
            <w:pPr>
              <w:pStyle w:val="12"/>
              <w:spacing w:before="177"/>
              <w:ind w:left="41" w:firstLine="440"/>
              <w:jc w:val="both"/>
              <w:rPr>
                <w:rFonts w:hint="eastAsia" w:ascii="Times New Roman"/>
                <w:sz w:val="24"/>
                <w:lang w:eastAsia="en-US"/>
              </w:rPr>
            </w:pPr>
            <w:r>
              <w:rPr>
                <w:rFonts w:ascii="Times New Roman"/>
                <w:spacing w:val="-10"/>
                <w:sz w:val="24"/>
                <w:lang w:eastAsia="en-US"/>
              </w:rPr>
              <w:t>8</w:t>
            </w:r>
          </w:p>
        </w:tc>
        <w:tc>
          <w:tcPr>
            <w:tcW w:w="8112" w:type="dxa"/>
            <w:vAlign w:val="center"/>
          </w:tcPr>
          <w:p w14:paraId="29C7A55C">
            <w:pPr>
              <w:keepNext w:val="0"/>
              <w:keepLines w:val="0"/>
              <w:widowControl/>
              <w:suppressLineNumbers w:val="0"/>
              <w:autoSpaceDE w:val="0"/>
              <w:autoSpaceDN w:val="0"/>
              <w:jc w:val="center"/>
              <w:rPr>
                <w:rFonts w:hint="eastAsia"/>
                <w:sz w:val="24"/>
                <w:lang w:eastAsia="zh-CN"/>
              </w:rPr>
            </w:pPr>
            <w:r>
              <w:rPr>
                <w:rFonts w:ascii="仿宋_GB2312" w:hAnsi="宋体" w:eastAsia="仿宋_GB2312" w:cs="仿宋_GB2312"/>
                <w:color w:val="000000"/>
                <w:kern w:val="0"/>
                <w:sz w:val="24"/>
                <w:szCs w:val="24"/>
                <w:lang w:val="en-US" w:eastAsia="zh-CN" w:bidi="ar"/>
                <w14:ligatures w14:val="standardContextual"/>
              </w:rPr>
              <w:t>大学生积极心理品质培育的路径与机制研究</w:t>
            </w:r>
          </w:p>
        </w:tc>
      </w:tr>
      <w:tr w14:paraId="1AF3D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37F43F00">
            <w:pPr>
              <w:pStyle w:val="12"/>
              <w:spacing w:before="177"/>
              <w:ind w:left="0" w:leftChars="0" w:firstLine="460" w:firstLineChars="200"/>
              <w:jc w:val="both"/>
              <w:rPr>
                <w:rFonts w:hint="default" w:ascii="Times New Roman" w:eastAsia="仿宋_GB2312"/>
                <w:spacing w:val="-5"/>
                <w:sz w:val="24"/>
                <w:lang w:val="en-US" w:eastAsia="zh-CN"/>
              </w:rPr>
            </w:pPr>
            <w:r>
              <w:rPr>
                <w:rFonts w:hint="eastAsia" w:ascii="Times New Roman"/>
                <w:spacing w:val="-5"/>
                <w:sz w:val="24"/>
                <w:lang w:val="en-US" w:eastAsia="zh-CN"/>
              </w:rPr>
              <w:t>9</w:t>
            </w:r>
          </w:p>
        </w:tc>
        <w:tc>
          <w:tcPr>
            <w:tcW w:w="8112" w:type="dxa"/>
            <w:vAlign w:val="center"/>
          </w:tcPr>
          <w:p w14:paraId="79F51A4D">
            <w:pPr>
              <w:pStyle w:val="12"/>
              <w:spacing w:before="176"/>
              <w:jc w:val="center"/>
              <w:rPr>
                <w:sz w:val="24"/>
                <w:lang w:eastAsia="zh-CN"/>
              </w:rPr>
            </w:pPr>
            <w:r>
              <w:rPr>
                <w:rFonts w:hint="eastAsia"/>
                <w:sz w:val="24"/>
                <w:lang w:eastAsia="zh-CN"/>
              </w:rPr>
              <w:t>新时代本科新生入学教育与学业规划协同育人实践研究</w:t>
            </w:r>
          </w:p>
        </w:tc>
      </w:tr>
      <w:tr w14:paraId="2B5A5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48E4FD23">
            <w:pPr>
              <w:pStyle w:val="12"/>
              <w:spacing w:before="177"/>
              <w:jc w:val="center"/>
              <w:rPr>
                <w:rFonts w:hint="default" w:ascii="Times New Roman" w:eastAsia="仿宋_GB2312"/>
                <w:sz w:val="24"/>
                <w:lang w:val="en-US" w:eastAsia="zh-CN"/>
              </w:rPr>
            </w:pPr>
            <w:r>
              <w:rPr>
                <w:rFonts w:hint="eastAsia" w:ascii="Times New Roman"/>
                <w:spacing w:val="-5"/>
                <w:sz w:val="24"/>
                <w:lang w:val="en-US" w:eastAsia="zh-CN"/>
              </w:rPr>
              <w:t>10</w:t>
            </w:r>
          </w:p>
        </w:tc>
        <w:tc>
          <w:tcPr>
            <w:tcW w:w="8112" w:type="dxa"/>
            <w:vAlign w:val="center"/>
          </w:tcPr>
          <w:p w14:paraId="13CFF0EC">
            <w:pPr>
              <w:pStyle w:val="12"/>
              <w:spacing w:before="176"/>
              <w:jc w:val="center"/>
              <w:rPr>
                <w:rFonts w:hint="eastAsia"/>
                <w:sz w:val="24"/>
                <w:lang w:eastAsia="zh-CN"/>
              </w:rPr>
            </w:pPr>
            <w:r>
              <w:rPr>
                <w:spacing w:val="-1"/>
                <w:sz w:val="24"/>
                <w:lang w:eastAsia="zh-CN"/>
              </w:rPr>
              <w:t>红色资源在大学生思想政治教育中的育人功能研究</w:t>
            </w:r>
          </w:p>
        </w:tc>
      </w:tr>
      <w:tr w14:paraId="070AF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432DC7A4">
            <w:pPr>
              <w:pStyle w:val="12"/>
              <w:spacing w:before="179"/>
              <w:ind w:left="41" w:firstLine="460"/>
              <w:jc w:val="both"/>
              <w:rPr>
                <w:rFonts w:hint="eastAsia" w:ascii="Times New Roman" w:eastAsia="仿宋_GB2312"/>
                <w:sz w:val="24"/>
                <w:lang w:val="en-US" w:eastAsia="zh-CN"/>
              </w:rPr>
            </w:pPr>
            <w:r>
              <w:rPr>
                <w:rFonts w:ascii="Times New Roman"/>
                <w:spacing w:val="-5"/>
                <w:sz w:val="24"/>
                <w:lang w:eastAsia="en-US"/>
              </w:rPr>
              <w:t>1</w:t>
            </w:r>
            <w:r>
              <w:rPr>
                <w:rFonts w:hint="eastAsia" w:ascii="Times New Roman"/>
                <w:spacing w:val="-5"/>
                <w:sz w:val="24"/>
                <w:lang w:val="en-US" w:eastAsia="zh-CN"/>
              </w:rPr>
              <w:t>1</w:t>
            </w:r>
          </w:p>
        </w:tc>
        <w:tc>
          <w:tcPr>
            <w:tcW w:w="8112" w:type="dxa"/>
            <w:vAlign w:val="center"/>
          </w:tcPr>
          <w:p w14:paraId="4E50A65C">
            <w:pPr>
              <w:pStyle w:val="12"/>
              <w:spacing w:before="176"/>
              <w:jc w:val="center"/>
              <w:rPr>
                <w:rFonts w:hint="eastAsia"/>
                <w:sz w:val="24"/>
                <w:lang w:eastAsia="zh-CN"/>
              </w:rPr>
            </w:pPr>
            <w:r>
              <w:rPr>
                <w:spacing w:val="-1"/>
                <w:sz w:val="24"/>
                <w:lang w:eastAsia="zh-CN"/>
              </w:rPr>
              <w:t>中华优秀传统文化融入大学生日常思想政治工作创新发展研究</w:t>
            </w:r>
          </w:p>
        </w:tc>
      </w:tr>
      <w:tr w14:paraId="17E32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49E7A83C">
            <w:pPr>
              <w:pStyle w:val="12"/>
              <w:spacing w:before="177"/>
              <w:ind w:left="41" w:firstLine="460"/>
              <w:jc w:val="both"/>
              <w:rPr>
                <w:rFonts w:hint="eastAsia" w:ascii="Times New Roman" w:eastAsia="仿宋_GB2312"/>
                <w:sz w:val="24"/>
                <w:lang w:val="en-US" w:eastAsia="zh-CN"/>
              </w:rPr>
            </w:pPr>
            <w:r>
              <w:rPr>
                <w:rFonts w:ascii="Times New Roman"/>
                <w:spacing w:val="-5"/>
                <w:sz w:val="24"/>
                <w:lang w:eastAsia="en-US"/>
              </w:rPr>
              <w:t>1</w:t>
            </w:r>
            <w:r>
              <w:rPr>
                <w:rFonts w:hint="eastAsia" w:ascii="Times New Roman"/>
                <w:spacing w:val="-5"/>
                <w:sz w:val="24"/>
                <w:lang w:val="en-US" w:eastAsia="zh-CN"/>
              </w:rPr>
              <w:t>2</w:t>
            </w:r>
          </w:p>
        </w:tc>
        <w:tc>
          <w:tcPr>
            <w:tcW w:w="8112" w:type="dxa"/>
            <w:vAlign w:val="center"/>
          </w:tcPr>
          <w:p w14:paraId="572DECD2">
            <w:pPr>
              <w:pStyle w:val="12"/>
              <w:spacing w:before="176"/>
              <w:jc w:val="center"/>
              <w:rPr>
                <w:rFonts w:hint="eastAsia"/>
                <w:sz w:val="24"/>
                <w:lang w:eastAsia="zh-CN"/>
              </w:rPr>
            </w:pPr>
            <w:r>
              <w:rPr>
                <w:spacing w:val="-1"/>
                <w:sz w:val="24"/>
                <w:lang w:eastAsia="zh-CN"/>
              </w:rPr>
              <w:t>基于学生群体画像分析的高校精准思政研究</w:t>
            </w:r>
          </w:p>
        </w:tc>
      </w:tr>
      <w:tr w14:paraId="5E368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00FA479D">
            <w:pPr>
              <w:pStyle w:val="12"/>
              <w:spacing w:before="177"/>
              <w:ind w:left="41" w:firstLine="460"/>
              <w:jc w:val="both"/>
              <w:rPr>
                <w:rFonts w:hint="eastAsia" w:ascii="Times New Roman" w:eastAsia="仿宋_GB2312"/>
                <w:sz w:val="24"/>
                <w:lang w:val="en-US" w:eastAsia="zh-CN"/>
              </w:rPr>
            </w:pPr>
            <w:r>
              <w:rPr>
                <w:rFonts w:ascii="Times New Roman"/>
                <w:spacing w:val="-5"/>
                <w:sz w:val="24"/>
                <w:lang w:eastAsia="en-US"/>
              </w:rPr>
              <w:t>1</w:t>
            </w:r>
            <w:r>
              <w:rPr>
                <w:rFonts w:hint="eastAsia" w:ascii="Times New Roman"/>
                <w:spacing w:val="-5"/>
                <w:sz w:val="24"/>
                <w:lang w:val="en-US" w:eastAsia="zh-CN"/>
              </w:rPr>
              <w:t>3</w:t>
            </w:r>
          </w:p>
        </w:tc>
        <w:tc>
          <w:tcPr>
            <w:tcW w:w="8112" w:type="dxa"/>
            <w:vAlign w:val="center"/>
          </w:tcPr>
          <w:p w14:paraId="1C9A1579">
            <w:pPr>
              <w:pStyle w:val="12"/>
              <w:spacing w:before="175"/>
              <w:jc w:val="center"/>
              <w:rPr>
                <w:rFonts w:hint="eastAsia"/>
                <w:sz w:val="24"/>
                <w:lang w:eastAsia="zh-CN"/>
              </w:rPr>
            </w:pPr>
            <w:r>
              <w:rPr>
                <w:spacing w:val="-1"/>
                <w:sz w:val="24"/>
                <w:lang w:eastAsia="zh-CN"/>
              </w:rPr>
              <w:t>数字化赋能高校思想政治教育研究</w:t>
            </w:r>
          </w:p>
        </w:tc>
      </w:tr>
      <w:tr w14:paraId="4F34C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5" w:hRule="atLeast"/>
        </w:trPr>
        <w:tc>
          <w:tcPr>
            <w:tcW w:w="1164" w:type="dxa"/>
            <w:vAlign w:val="center"/>
          </w:tcPr>
          <w:p w14:paraId="6D27BDF1">
            <w:pPr>
              <w:pStyle w:val="12"/>
              <w:spacing w:before="177"/>
              <w:ind w:left="41" w:firstLine="460"/>
              <w:jc w:val="both"/>
              <w:rPr>
                <w:rFonts w:hint="eastAsia" w:ascii="Times New Roman" w:eastAsia="仿宋_GB2312"/>
                <w:sz w:val="24"/>
                <w:lang w:val="en-US" w:eastAsia="zh-CN"/>
              </w:rPr>
            </w:pPr>
            <w:r>
              <w:rPr>
                <w:rFonts w:ascii="Times New Roman"/>
                <w:spacing w:val="-5"/>
                <w:sz w:val="24"/>
                <w:lang w:eastAsia="en-US"/>
              </w:rPr>
              <w:t>1</w:t>
            </w:r>
            <w:r>
              <w:rPr>
                <w:rFonts w:hint="eastAsia" w:ascii="Times New Roman"/>
                <w:spacing w:val="-5"/>
                <w:sz w:val="24"/>
                <w:lang w:val="en-US" w:eastAsia="zh-CN"/>
              </w:rPr>
              <w:t>4</w:t>
            </w:r>
          </w:p>
        </w:tc>
        <w:tc>
          <w:tcPr>
            <w:tcW w:w="8112" w:type="dxa"/>
            <w:vAlign w:val="center"/>
          </w:tcPr>
          <w:p w14:paraId="28AEA676">
            <w:pPr>
              <w:pStyle w:val="12"/>
              <w:spacing w:before="176"/>
              <w:jc w:val="center"/>
              <w:rPr>
                <w:rFonts w:hint="eastAsia"/>
                <w:sz w:val="24"/>
                <w:lang w:eastAsia="zh-CN"/>
              </w:rPr>
            </w:pPr>
            <w:r>
              <w:rPr>
                <w:spacing w:val="-1"/>
                <w:sz w:val="24"/>
                <w:lang w:eastAsia="zh-CN"/>
              </w:rPr>
              <w:t>高校实践育人空间阵地拓展路径研究</w:t>
            </w:r>
          </w:p>
        </w:tc>
      </w:tr>
      <w:tr w14:paraId="50D1A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5" w:hRule="atLeast"/>
        </w:trPr>
        <w:tc>
          <w:tcPr>
            <w:tcW w:w="1164" w:type="dxa"/>
            <w:vAlign w:val="center"/>
          </w:tcPr>
          <w:p w14:paraId="363DD089">
            <w:pPr>
              <w:pStyle w:val="12"/>
              <w:spacing w:before="177"/>
              <w:ind w:left="41" w:firstLine="460"/>
              <w:jc w:val="both"/>
              <w:rPr>
                <w:rFonts w:hint="eastAsia" w:ascii="Times New Roman" w:eastAsia="仿宋_GB2312"/>
                <w:sz w:val="24"/>
                <w:lang w:val="en-US" w:eastAsia="zh-CN"/>
              </w:rPr>
            </w:pPr>
            <w:r>
              <w:rPr>
                <w:rFonts w:ascii="Times New Roman"/>
                <w:spacing w:val="-5"/>
                <w:sz w:val="24"/>
                <w:lang w:eastAsia="en-US"/>
              </w:rPr>
              <w:t>1</w:t>
            </w:r>
            <w:r>
              <w:rPr>
                <w:rFonts w:hint="eastAsia" w:ascii="Times New Roman"/>
                <w:spacing w:val="-5"/>
                <w:sz w:val="24"/>
                <w:lang w:val="en-US" w:eastAsia="zh-CN"/>
              </w:rPr>
              <w:t>5</w:t>
            </w:r>
          </w:p>
        </w:tc>
        <w:tc>
          <w:tcPr>
            <w:tcW w:w="8112" w:type="dxa"/>
            <w:vAlign w:val="center"/>
          </w:tcPr>
          <w:p w14:paraId="7C75DDF9">
            <w:pPr>
              <w:pStyle w:val="12"/>
              <w:spacing w:before="176"/>
              <w:jc w:val="center"/>
              <w:rPr>
                <w:rFonts w:hint="eastAsia"/>
                <w:sz w:val="24"/>
                <w:lang w:eastAsia="zh-CN"/>
              </w:rPr>
            </w:pPr>
            <w:r>
              <w:rPr>
                <w:spacing w:val="-1"/>
                <w:sz w:val="24"/>
                <w:lang w:eastAsia="zh-CN"/>
              </w:rPr>
              <w:t>铸牢中华民族共同体意识融入大学生思想政治教育路径研究</w:t>
            </w:r>
          </w:p>
        </w:tc>
      </w:tr>
      <w:tr w14:paraId="09B7E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trPr>
        <w:tc>
          <w:tcPr>
            <w:tcW w:w="1164" w:type="dxa"/>
            <w:vAlign w:val="center"/>
          </w:tcPr>
          <w:p w14:paraId="15230D02">
            <w:pPr>
              <w:pStyle w:val="12"/>
              <w:spacing w:before="179"/>
              <w:ind w:left="41" w:firstLine="460"/>
              <w:jc w:val="both"/>
              <w:rPr>
                <w:rFonts w:hint="eastAsia" w:ascii="Times New Roman" w:eastAsia="仿宋_GB2312"/>
                <w:sz w:val="24"/>
                <w:lang w:val="en-US" w:eastAsia="zh-CN"/>
              </w:rPr>
            </w:pPr>
            <w:r>
              <w:rPr>
                <w:rFonts w:ascii="Times New Roman"/>
                <w:spacing w:val="-5"/>
                <w:sz w:val="24"/>
                <w:lang w:eastAsia="en-US"/>
              </w:rPr>
              <w:t>1</w:t>
            </w:r>
            <w:r>
              <w:rPr>
                <w:rFonts w:hint="eastAsia" w:ascii="Times New Roman"/>
                <w:spacing w:val="-5"/>
                <w:sz w:val="24"/>
                <w:lang w:val="en-US" w:eastAsia="zh-CN"/>
              </w:rPr>
              <w:t>6</w:t>
            </w:r>
          </w:p>
        </w:tc>
        <w:tc>
          <w:tcPr>
            <w:tcW w:w="8112" w:type="dxa"/>
            <w:vAlign w:val="center"/>
          </w:tcPr>
          <w:p w14:paraId="7CB6BE85">
            <w:pPr>
              <w:keepNext w:val="0"/>
              <w:keepLines w:val="0"/>
              <w:widowControl/>
              <w:suppressLineNumbers w:val="0"/>
              <w:autoSpaceDE w:val="0"/>
              <w:autoSpaceDN w:val="0"/>
              <w:jc w:val="center"/>
              <w:rPr>
                <w:rFonts w:hint="eastAsia"/>
                <w:sz w:val="24"/>
                <w:lang w:eastAsia="zh-CN"/>
              </w:rPr>
            </w:pPr>
            <w:r>
              <w:rPr>
                <w:rFonts w:ascii="仿宋_GB2312" w:hAnsi="宋体" w:eastAsia="仿宋_GB2312" w:cs="仿宋_GB2312"/>
                <w:color w:val="000000"/>
                <w:kern w:val="0"/>
                <w:sz w:val="24"/>
                <w:szCs w:val="24"/>
                <w:lang w:val="en-US" w:eastAsia="zh-CN" w:bidi="ar"/>
                <w14:ligatures w14:val="standardContextual"/>
              </w:rPr>
              <w:t>经济社会热点问题对大学生思想认知影响的作用机制研究</w:t>
            </w:r>
          </w:p>
        </w:tc>
      </w:tr>
      <w:bookmarkEnd w:id="2"/>
    </w:tbl>
    <w:p w14:paraId="6F5AB903">
      <w:pPr>
        <w:pStyle w:val="12"/>
        <w:ind w:firstLine="480"/>
        <w:rPr>
          <w:rFonts w:hint="eastAsia"/>
          <w:sz w:val="24"/>
        </w:rPr>
        <w:sectPr>
          <w:headerReference r:id="rId3" w:type="default"/>
          <w:footerReference r:id="rId4" w:type="default"/>
          <w:pgSz w:w="11910" w:h="16840"/>
          <w:pgMar w:top="1920" w:right="1275" w:bottom="1463" w:left="1275" w:header="0" w:footer="798" w:gutter="0"/>
          <w:pgNumType w:start="1"/>
          <w:cols w:space="720" w:num="1"/>
        </w:sectPr>
      </w:pPr>
    </w:p>
    <w:tbl>
      <w:tblPr>
        <w:tblStyle w:val="10"/>
        <w:tblW w:w="927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4"/>
        <w:gridCol w:w="8112"/>
      </w:tblGrid>
      <w:tr w14:paraId="2F887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067897E3">
            <w:pPr>
              <w:pStyle w:val="12"/>
              <w:spacing w:before="176"/>
              <w:jc w:val="center"/>
              <w:rPr>
                <w:rFonts w:hint="eastAsia" w:ascii="黑体" w:eastAsia="黑体"/>
                <w:sz w:val="24"/>
                <w:lang w:eastAsia="en-US"/>
              </w:rPr>
            </w:pPr>
            <w:r>
              <w:rPr>
                <w:rFonts w:ascii="黑体" w:eastAsia="黑体"/>
                <w:spacing w:val="-5"/>
                <w:sz w:val="24"/>
                <w:lang w:eastAsia="en-US"/>
              </w:rPr>
              <w:t>序号</w:t>
            </w:r>
          </w:p>
        </w:tc>
        <w:tc>
          <w:tcPr>
            <w:tcW w:w="8112" w:type="dxa"/>
          </w:tcPr>
          <w:p w14:paraId="5B67933D">
            <w:pPr>
              <w:pStyle w:val="12"/>
              <w:spacing w:before="176"/>
              <w:ind w:left="0" w:right="234"/>
              <w:jc w:val="center"/>
              <w:rPr>
                <w:rFonts w:hint="eastAsia" w:ascii="黑体" w:eastAsia="黑体"/>
                <w:sz w:val="24"/>
                <w:lang w:eastAsia="en-US"/>
              </w:rPr>
            </w:pPr>
            <w:r>
              <w:rPr>
                <w:rFonts w:ascii="黑体" w:eastAsia="黑体"/>
                <w:spacing w:val="-3"/>
                <w:sz w:val="24"/>
                <w:lang w:eastAsia="en-US"/>
              </w:rPr>
              <w:t>课题名称</w:t>
            </w:r>
          </w:p>
        </w:tc>
      </w:tr>
      <w:tr w14:paraId="35AFF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7F3302FC">
            <w:pPr>
              <w:pStyle w:val="12"/>
              <w:spacing w:before="179"/>
              <w:ind w:left="41" w:firstLine="460"/>
              <w:rPr>
                <w:rFonts w:hint="eastAsia" w:ascii="Times New Roman" w:eastAsia="仿宋_GB2312"/>
                <w:spacing w:val="-5"/>
                <w:sz w:val="24"/>
                <w:lang w:val="en-US" w:eastAsia="zh-CN"/>
              </w:rPr>
            </w:pPr>
            <w:r>
              <w:rPr>
                <w:rFonts w:ascii="Times New Roman"/>
                <w:spacing w:val="-5"/>
                <w:sz w:val="24"/>
                <w:lang w:eastAsia="en-US"/>
              </w:rPr>
              <w:t>1</w:t>
            </w:r>
            <w:r>
              <w:rPr>
                <w:rFonts w:hint="eastAsia" w:ascii="Times New Roman"/>
                <w:spacing w:val="-5"/>
                <w:sz w:val="24"/>
                <w:lang w:val="en-US" w:eastAsia="zh-CN"/>
              </w:rPr>
              <w:t>7</w:t>
            </w:r>
          </w:p>
        </w:tc>
        <w:tc>
          <w:tcPr>
            <w:tcW w:w="8112" w:type="dxa"/>
          </w:tcPr>
          <w:p w14:paraId="191A62AB">
            <w:pPr>
              <w:pStyle w:val="12"/>
              <w:spacing w:before="176"/>
              <w:rPr>
                <w:spacing w:val="-1"/>
                <w:sz w:val="24"/>
                <w:lang w:eastAsia="zh-CN"/>
              </w:rPr>
            </w:pPr>
            <w:r>
              <w:rPr>
                <w:spacing w:val="-1"/>
                <w:sz w:val="24"/>
                <w:lang w:eastAsia="zh-CN"/>
              </w:rPr>
              <w:t>增强高校辅导员与学生谈心谈话的针对性和实效性研究</w:t>
            </w:r>
          </w:p>
        </w:tc>
      </w:tr>
      <w:tr w14:paraId="1C88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65F8D746">
            <w:pPr>
              <w:pStyle w:val="12"/>
              <w:spacing w:before="177"/>
              <w:ind w:left="41" w:firstLine="460"/>
              <w:rPr>
                <w:rFonts w:hint="default" w:ascii="Times New Roman" w:eastAsia="仿宋_GB2312"/>
                <w:sz w:val="24"/>
                <w:lang w:val="en-US" w:eastAsia="zh-CN"/>
              </w:rPr>
            </w:pPr>
            <w:r>
              <w:rPr>
                <w:rFonts w:hint="eastAsia" w:ascii="Times New Roman"/>
                <w:sz w:val="24"/>
                <w:lang w:val="en-US" w:eastAsia="zh-CN"/>
              </w:rPr>
              <w:t>18</w:t>
            </w:r>
          </w:p>
        </w:tc>
        <w:tc>
          <w:tcPr>
            <w:tcW w:w="8112" w:type="dxa"/>
          </w:tcPr>
          <w:p w14:paraId="166785E7">
            <w:pPr>
              <w:pStyle w:val="12"/>
              <w:spacing w:before="176"/>
              <w:rPr>
                <w:rFonts w:hint="eastAsia"/>
                <w:sz w:val="24"/>
                <w:lang w:eastAsia="zh-CN"/>
              </w:rPr>
            </w:pPr>
            <w:r>
              <w:rPr>
                <w:spacing w:val="-1"/>
                <w:sz w:val="24"/>
                <w:lang w:eastAsia="zh-CN"/>
              </w:rPr>
              <w:t>新时代高校辅导员核心素养研究</w:t>
            </w:r>
          </w:p>
        </w:tc>
      </w:tr>
      <w:tr w14:paraId="357EC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42F59567">
            <w:pPr>
              <w:pStyle w:val="12"/>
              <w:spacing w:before="177"/>
              <w:ind w:left="41" w:firstLine="460"/>
              <w:rPr>
                <w:rFonts w:hint="default" w:ascii="Times New Roman" w:eastAsia="仿宋_GB2312"/>
                <w:sz w:val="24"/>
                <w:lang w:val="en-US" w:eastAsia="zh-CN"/>
              </w:rPr>
            </w:pPr>
            <w:r>
              <w:rPr>
                <w:rFonts w:hint="eastAsia" w:ascii="Times New Roman"/>
                <w:sz w:val="24"/>
                <w:lang w:val="en-US" w:eastAsia="zh-CN"/>
              </w:rPr>
              <w:t>19</w:t>
            </w:r>
          </w:p>
        </w:tc>
        <w:tc>
          <w:tcPr>
            <w:tcW w:w="8112" w:type="dxa"/>
          </w:tcPr>
          <w:p w14:paraId="62717412">
            <w:pPr>
              <w:pStyle w:val="12"/>
              <w:spacing w:before="175"/>
              <w:rPr>
                <w:rFonts w:hint="eastAsia"/>
                <w:sz w:val="24"/>
                <w:lang w:eastAsia="zh-CN"/>
              </w:rPr>
            </w:pPr>
            <w:r>
              <w:rPr>
                <w:spacing w:val="-1"/>
                <w:sz w:val="24"/>
                <w:lang w:eastAsia="zh-CN"/>
              </w:rPr>
              <w:t>高校专职辅导员职业发展体系与晋升路径研究</w:t>
            </w:r>
          </w:p>
        </w:tc>
      </w:tr>
      <w:tr w14:paraId="1E3AD1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5B99E45F">
            <w:pPr>
              <w:pStyle w:val="12"/>
              <w:spacing w:before="177"/>
              <w:ind w:left="41" w:firstLine="460"/>
              <w:rPr>
                <w:rFonts w:hint="default" w:ascii="Times New Roman" w:eastAsia="仿宋_GB2312"/>
                <w:sz w:val="24"/>
                <w:lang w:val="en-US" w:eastAsia="zh-CN"/>
              </w:rPr>
            </w:pPr>
            <w:r>
              <w:rPr>
                <w:rFonts w:hint="eastAsia" w:ascii="Times New Roman"/>
                <w:sz w:val="24"/>
                <w:lang w:val="en-US" w:eastAsia="zh-CN"/>
              </w:rPr>
              <w:t>20</w:t>
            </w:r>
          </w:p>
        </w:tc>
        <w:tc>
          <w:tcPr>
            <w:tcW w:w="8112" w:type="dxa"/>
          </w:tcPr>
          <w:p w14:paraId="39DAE974">
            <w:pPr>
              <w:pStyle w:val="12"/>
              <w:spacing w:before="176"/>
              <w:jc w:val="both"/>
              <w:rPr>
                <w:rFonts w:hint="eastAsia"/>
                <w:sz w:val="24"/>
                <w:lang w:eastAsia="zh-CN"/>
              </w:rPr>
            </w:pPr>
            <w:r>
              <w:rPr>
                <w:rFonts w:hint="eastAsia"/>
                <w:sz w:val="24"/>
                <w:lang w:eastAsia="zh-CN"/>
              </w:rPr>
              <w:t>高校网络思想政治教育品牌打造的机制研究</w:t>
            </w:r>
          </w:p>
        </w:tc>
      </w:tr>
      <w:tr w14:paraId="090DB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519408D9">
            <w:pPr>
              <w:pStyle w:val="12"/>
              <w:spacing w:before="177"/>
              <w:ind w:left="41" w:firstLine="460"/>
              <w:rPr>
                <w:rFonts w:hint="eastAsia" w:ascii="Times New Roman" w:eastAsia="仿宋_GB2312"/>
                <w:sz w:val="24"/>
                <w:lang w:val="en-US" w:eastAsia="zh-CN"/>
              </w:rPr>
            </w:pPr>
            <w:r>
              <w:rPr>
                <w:rFonts w:ascii="Times New Roman"/>
                <w:spacing w:val="-5"/>
                <w:sz w:val="24"/>
                <w:lang w:eastAsia="en-US"/>
              </w:rPr>
              <w:t>2</w:t>
            </w:r>
            <w:r>
              <w:rPr>
                <w:rFonts w:hint="eastAsia" w:ascii="Times New Roman"/>
                <w:spacing w:val="-5"/>
                <w:sz w:val="24"/>
                <w:lang w:val="en-US" w:eastAsia="zh-CN"/>
              </w:rPr>
              <w:t>1</w:t>
            </w:r>
          </w:p>
        </w:tc>
        <w:tc>
          <w:tcPr>
            <w:tcW w:w="8112" w:type="dxa"/>
          </w:tcPr>
          <w:p w14:paraId="37245CED">
            <w:pPr>
              <w:pStyle w:val="12"/>
              <w:spacing w:before="176"/>
              <w:jc w:val="both"/>
              <w:rPr>
                <w:rFonts w:hint="eastAsia"/>
                <w:sz w:val="24"/>
                <w:lang w:eastAsia="zh-CN"/>
              </w:rPr>
            </w:pPr>
            <w:r>
              <w:rPr>
                <w:rFonts w:hint="eastAsia"/>
                <w:spacing w:val="-1"/>
                <w:sz w:val="24"/>
                <w:lang w:eastAsia="zh-CN"/>
              </w:rPr>
              <w:t>高校学生网络意见表达引导机制研究</w:t>
            </w:r>
          </w:p>
        </w:tc>
      </w:tr>
      <w:tr w14:paraId="397B1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6F81DF72">
            <w:pPr>
              <w:pStyle w:val="12"/>
              <w:spacing w:before="179"/>
              <w:ind w:left="41" w:firstLine="460"/>
              <w:rPr>
                <w:rFonts w:hint="eastAsia" w:ascii="Times New Roman" w:eastAsia="仿宋_GB2312"/>
                <w:sz w:val="24"/>
                <w:lang w:val="en-US" w:eastAsia="zh-CN"/>
              </w:rPr>
            </w:pPr>
            <w:r>
              <w:rPr>
                <w:rFonts w:ascii="Times New Roman"/>
                <w:spacing w:val="-5"/>
                <w:sz w:val="24"/>
                <w:lang w:eastAsia="en-US"/>
              </w:rPr>
              <w:t>2</w:t>
            </w:r>
            <w:r>
              <w:rPr>
                <w:rFonts w:hint="eastAsia" w:ascii="Times New Roman"/>
                <w:spacing w:val="-5"/>
                <w:sz w:val="24"/>
                <w:lang w:val="en-US" w:eastAsia="zh-CN"/>
              </w:rPr>
              <w:t>2</w:t>
            </w:r>
          </w:p>
        </w:tc>
        <w:tc>
          <w:tcPr>
            <w:tcW w:w="8112" w:type="dxa"/>
          </w:tcPr>
          <w:p w14:paraId="6466092E">
            <w:pPr>
              <w:pStyle w:val="12"/>
              <w:spacing w:before="176"/>
              <w:jc w:val="both"/>
              <w:rPr>
                <w:rFonts w:hint="eastAsia"/>
                <w:sz w:val="24"/>
                <w:lang w:eastAsia="zh-CN"/>
              </w:rPr>
            </w:pPr>
            <w:r>
              <w:rPr>
                <w:rFonts w:hint="eastAsia"/>
                <w:sz w:val="24"/>
                <w:lang w:eastAsia="zh-CN"/>
              </w:rPr>
              <w:t>大学生心理危机的特点与干预策略研究</w:t>
            </w:r>
          </w:p>
        </w:tc>
      </w:tr>
      <w:tr w14:paraId="0C34F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41663153">
            <w:pPr>
              <w:pStyle w:val="12"/>
              <w:spacing w:before="177"/>
              <w:ind w:left="41" w:firstLine="460"/>
              <w:rPr>
                <w:rFonts w:hint="eastAsia" w:ascii="Times New Roman" w:eastAsia="仿宋_GB2312"/>
                <w:sz w:val="24"/>
                <w:lang w:val="en-US" w:eastAsia="zh-CN"/>
              </w:rPr>
            </w:pPr>
            <w:r>
              <w:rPr>
                <w:rFonts w:ascii="Times New Roman"/>
                <w:spacing w:val="-5"/>
                <w:sz w:val="24"/>
                <w:lang w:eastAsia="en-US"/>
              </w:rPr>
              <w:t>2</w:t>
            </w:r>
            <w:r>
              <w:rPr>
                <w:rFonts w:hint="eastAsia" w:ascii="Times New Roman"/>
                <w:spacing w:val="-5"/>
                <w:sz w:val="24"/>
                <w:lang w:val="en-US" w:eastAsia="zh-CN"/>
              </w:rPr>
              <w:t>3</w:t>
            </w:r>
          </w:p>
        </w:tc>
        <w:tc>
          <w:tcPr>
            <w:tcW w:w="8112" w:type="dxa"/>
          </w:tcPr>
          <w:p w14:paraId="087F06D0">
            <w:pPr>
              <w:pStyle w:val="12"/>
              <w:spacing w:before="176"/>
              <w:jc w:val="both"/>
              <w:rPr>
                <w:rFonts w:hint="eastAsia"/>
                <w:sz w:val="24"/>
                <w:lang w:eastAsia="zh-CN"/>
              </w:rPr>
            </w:pPr>
            <w:r>
              <w:rPr>
                <w:spacing w:val="-1"/>
                <w:sz w:val="24"/>
                <w:lang w:eastAsia="zh-CN"/>
              </w:rPr>
              <w:t>高校学生组织育人的路径和机制创新研究</w:t>
            </w:r>
          </w:p>
        </w:tc>
      </w:tr>
      <w:tr w14:paraId="2113B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334AA5D6">
            <w:pPr>
              <w:pStyle w:val="12"/>
              <w:spacing w:before="177"/>
              <w:ind w:left="41" w:firstLine="460"/>
              <w:rPr>
                <w:rFonts w:hint="default" w:ascii="Times New Roman" w:eastAsia="仿宋_GB2312"/>
                <w:sz w:val="24"/>
                <w:lang w:val="en-US" w:eastAsia="zh-CN"/>
              </w:rPr>
            </w:pPr>
            <w:r>
              <w:rPr>
                <w:rFonts w:hint="eastAsia" w:ascii="Times New Roman"/>
                <w:spacing w:val="-5"/>
                <w:sz w:val="24"/>
                <w:lang w:val="en-US" w:eastAsia="zh-CN"/>
              </w:rPr>
              <w:t>24</w:t>
            </w:r>
          </w:p>
        </w:tc>
        <w:tc>
          <w:tcPr>
            <w:tcW w:w="8112" w:type="dxa"/>
          </w:tcPr>
          <w:p w14:paraId="51C8D803">
            <w:pPr>
              <w:pStyle w:val="12"/>
              <w:spacing w:before="176"/>
              <w:jc w:val="both"/>
              <w:rPr>
                <w:rFonts w:hint="eastAsia"/>
                <w:sz w:val="24"/>
                <w:lang w:eastAsia="zh-CN"/>
              </w:rPr>
            </w:pPr>
            <w:r>
              <w:rPr>
                <w:rFonts w:hint="eastAsia"/>
                <w:sz w:val="24"/>
                <w:lang w:eastAsia="zh-CN"/>
              </w:rPr>
              <w:t>辅导员对大学生高质量就业的作用机制发挥研究</w:t>
            </w:r>
          </w:p>
        </w:tc>
      </w:tr>
      <w:tr w14:paraId="76DD0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0CC78389">
            <w:pPr>
              <w:pStyle w:val="12"/>
              <w:spacing w:before="179"/>
              <w:ind w:left="41" w:firstLine="460"/>
              <w:rPr>
                <w:rFonts w:hint="eastAsia" w:ascii="Times New Roman" w:eastAsia="仿宋_GB2312"/>
                <w:sz w:val="24"/>
                <w:lang w:val="en-US" w:eastAsia="zh-CN"/>
              </w:rPr>
            </w:pPr>
            <w:r>
              <w:rPr>
                <w:rFonts w:ascii="Times New Roman"/>
                <w:spacing w:val="-5"/>
                <w:sz w:val="24"/>
                <w:lang w:eastAsia="en-US"/>
              </w:rPr>
              <w:t>2</w:t>
            </w:r>
            <w:r>
              <w:rPr>
                <w:rFonts w:hint="eastAsia" w:ascii="Times New Roman"/>
                <w:spacing w:val="-5"/>
                <w:sz w:val="24"/>
                <w:lang w:val="en-US" w:eastAsia="zh-CN"/>
              </w:rPr>
              <w:t>5</w:t>
            </w:r>
          </w:p>
        </w:tc>
        <w:tc>
          <w:tcPr>
            <w:tcW w:w="8112" w:type="dxa"/>
          </w:tcPr>
          <w:p w14:paraId="5D0DD624">
            <w:pPr>
              <w:pStyle w:val="12"/>
              <w:spacing w:before="176"/>
              <w:jc w:val="both"/>
              <w:rPr>
                <w:rFonts w:hint="eastAsia"/>
                <w:sz w:val="24"/>
                <w:lang w:eastAsia="zh-CN"/>
              </w:rPr>
            </w:pPr>
            <w:r>
              <w:rPr>
                <w:rFonts w:hint="eastAsia"/>
                <w:sz w:val="24"/>
                <w:lang w:eastAsia="zh-CN"/>
              </w:rPr>
              <w:t>“一站式”学生社区综合管理模式建设高质量发展的内涵与实现路径研究</w:t>
            </w:r>
          </w:p>
        </w:tc>
      </w:tr>
      <w:tr w14:paraId="5042E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1835A5A8">
            <w:pPr>
              <w:pStyle w:val="12"/>
              <w:spacing w:before="177"/>
              <w:ind w:left="41" w:firstLine="460"/>
              <w:rPr>
                <w:rFonts w:hint="default" w:ascii="Times New Roman" w:eastAsia="仿宋_GB2312"/>
                <w:sz w:val="24"/>
                <w:lang w:val="en-US" w:eastAsia="zh-CN"/>
              </w:rPr>
            </w:pPr>
            <w:r>
              <w:rPr>
                <w:rFonts w:hint="eastAsia" w:ascii="Times New Roman"/>
                <w:sz w:val="24"/>
                <w:lang w:val="en-US" w:eastAsia="zh-CN"/>
              </w:rPr>
              <w:t>26</w:t>
            </w:r>
          </w:p>
        </w:tc>
        <w:tc>
          <w:tcPr>
            <w:tcW w:w="8112" w:type="dxa"/>
          </w:tcPr>
          <w:p w14:paraId="5D20D973">
            <w:pPr>
              <w:pStyle w:val="12"/>
              <w:spacing w:before="176"/>
              <w:jc w:val="both"/>
              <w:rPr>
                <w:rFonts w:hint="eastAsia"/>
                <w:sz w:val="24"/>
                <w:lang w:eastAsia="zh-CN"/>
              </w:rPr>
            </w:pPr>
            <w:r>
              <w:rPr>
                <w:rFonts w:hint="eastAsia"/>
                <w:sz w:val="24"/>
                <w:lang w:eastAsia="zh-CN"/>
              </w:rPr>
              <w:t>AI新技术发展与应用对高校思想政治工作的影响研究</w:t>
            </w:r>
          </w:p>
        </w:tc>
      </w:tr>
      <w:tr w14:paraId="3C43D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326BDE5B">
            <w:pPr>
              <w:pStyle w:val="12"/>
              <w:spacing w:before="177"/>
              <w:ind w:left="41" w:firstLine="460"/>
              <w:rPr>
                <w:rFonts w:hint="default" w:ascii="Times New Roman" w:eastAsia="仿宋_GB2312"/>
                <w:sz w:val="24"/>
                <w:lang w:val="en-US" w:eastAsia="zh-CN"/>
              </w:rPr>
            </w:pPr>
            <w:r>
              <w:rPr>
                <w:rFonts w:hint="eastAsia" w:ascii="Times New Roman"/>
                <w:sz w:val="24"/>
                <w:lang w:val="en-US" w:eastAsia="zh-CN"/>
              </w:rPr>
              <w:t>27</w:t>
            </w:r>
          </w:p>
        </w:tc>
        <w:tc>
          <w:tcPr>
            <w:tcW w:w="8112" w:type="dxa"/>
          </w:tcPr>
          <w:p w14:paraId="6F3E18A1">
            <w:pPr>
              <w:pStyle w:val="12"/>
              <w:spacing w:before="175"/>
              <w:jc w:val="both"/>
              <w:rPr>
                <w:rFonts w:hint="eastAsia"/>
                <w:sz w:val="24"/>
                <w:lang w:eastAsia="zh-CN"/>
              </w:rPr>
            </w:pPr>
            <w:r>
              <w:rPr>
                <w:sz w:val="24"/>
                <w:lang w:eastAsia="zh-CN"/>
              </w:rPr>
              <w:t>AI</w:t>
            </w:r>
            <w:r>
              <w:rPr>
                <w:spacing w:val="-1"/>
                <w:sz w:val="24"/>
                <w:lang w:eastAsia="zh-CN"/>
              </w:rPr>
              <w:t>辅导员的意识形态风险及防范化解策略研究</w:t>
            </w:r>
          </w:p>
        </w:tc>
      </w:tr>
      <w:tr w14:paraId="340C7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114D1684">
            <w:pPr>
              <w:pStyle w:val="12"/>
              <w:spacing w:before="177"/>
              <w:ind w:left="41" w:firstLine="460"/>
              <w:rPr>
                <w:rFonts w:hint="default" w:ascii="Times New Roman" w:eastAsia="仿宋_GB2312"/>
                <w:sz w:val="24"/>
                <w:lang w:val="en-US" w:eastAsia="zh-CN"/>
              </w:rPr>
            </w:pPr>
            <w:r>
              <w:rPr>
                <w:rFonts w:hint="eastAsia" w:ascii="Times New Roman"/>
                <w:sz w:val="24"/>
                <w:lang w:val="en-US" w:eastAsia="zh-CN"/>
              </w:rPr>
              <w:t>28</w:t>
            </w:r>
          </w:p>
        </w:tc>
        <w:tc>
          <w:tcPr>
            <w:tcW w:w="8112" w:type="dxa"/>
          </w:tcPr>
          <w:p w14:paraId="55658E2F">
            <w:pPr>
              <w:pStyle w:val="12"/>
              <w:spacing w:before="176"/>
              <w:jc w:val="both"/>
              <w:rPr>
                <w:rFonts w:hint="eastAsia"/>
                <w:sz w:val="24"/>
                <w:lang w:eastAsia="zh-CN"/>
              </w:rPr>
            </w:pPr>
            <w:r>
              <w:rPr>
                <w:spacing w:val="-1"/>
                <w:sz w:val="24"/>
                <w:lang w:eastAsia="zh-CN"/>
              </w:rPr>
              <w:t>高校学生利益诉求表达方式及引导策略研究</w:t>
            </w:r>
          </w:p>
        </w:tc>
      </w:tr>
      <w:tr w14:paraId="38B23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3EE48CED">
            <w:pPr>
              <w:pStyle w:val="12"/>
              <w:spacing w:before="179"/>
              <w:ind w:left="41" w:firstLine="460"/>
              <w:rPr>
                <w:rFonts w:hint="default" w:ascii="Times New Roman" w:eastAsia="仿宋_GB2312"/>
                <w:sz w:val="24"/>
                <w:lang w:val="en-US" w:eastAsia="zh-CN"/>
              </w:rPr>
            </w:pPr>
            <w:r>
              <w:rPr>
                <w:rFonts w:hint="eastAsia" w:ascii="Times New Roman"/>
                <w:sz w:val="24"/>
                <w:lang w:val="en-US" w:eastAsia="zh-CN"/>
              </w:rPr>
              <w:t>29</w:t>
            </w:r>
          </w:p>
        </w:tc>
        <w:tc>
          <w:tcPr>
            <w:tcW w:w="8112" w:type="dxa"/>
            <w:vAlign w:val="center"/>
          </w:tcPr>
          <w:p w14:paraId="60FF2EC5">
            <w:pPr>
              <w:keepNext w:val="0"/>
              <w:keepLines w:val="0"/>
              <w:widowControl/>
              <w:suppressLineNumbers w:val="0"/>
              <w:autoSpaceDE w:val="0"/>
              <w:autoSpaceDN w:val="0"/>
              <w:jc w:val="left"/>
              <w:rPr>
                <w:rFonts w:hint="eastAsia"/>
                <w:sz w:val="24"/>
                <w:lang w:eastAsia="zh-CN"/>
              </w:rPr>
            </w:pPr>
            <w:r>
              <w:rPr>
                <w:rFonts w:ascii="仿宋_GB2312" w:hAnsi="宋体" w:eastAsia="仿宋_GB2312" w:cs="仿宋_GB2312"/>
                <w:color w:val="000000"/>
                <w:kern w:val="0"/>
                <w:sz w:val="24"/>
                <w:szCs w:val="24"/>
                <w:lang w:val="en-US" w:eastAsia="zh-CN" w:bidi="ar"/>
                <w14:ligatures w14:val="standardContextual"/>
              </w:rPr>
              <w:t>少数民族学生教育管理工作研究</w:t>
            </w:r>
          </w:p>
        </w:tc>
      </w:tr>
      <w:tr w14:paraId="400AA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52" w:hRule="atLeast"/>
          <w:jc w:val="center"/>
        </w:trPr>
        <w:tc>
          <w:tcPr>
            <w:tcW w:w="1164" w:type="dxa"/>
          </w:tcPr>
          <w:p w14:paraId="29052608">
            <w:pPr>
              <w:pStyle w:val="12"/>
              <w:spacing w:before="179"/>
              <w:ind w:left="41" w:firstLine="460"/>
              <w:rPr>
                <w:rFonts w:hint="default" w:ascii="Times New Roman"/>
                <w:sz w:val="24"/>
                <w:lang w:val="en-US" w:eastAsia="zh-CN"/>
              </w:rPr>
            </w:pPr>
            <w:r>
              <w:rPr>
                <w:rFonts w:hint="eastAsia" w:ascii="Times New Roman"/>
                <w:sz w:val="24"/>
                <w:lang w:val="en-US" w:eastAsia="zh-CN"/>
              </w:rPr>
              <w:t>30</w:t>
            </w:r>
          </w:p>
        </w:tc>
        <w:tc>
          <w:tcPr>
            <w:tcW w:w="8112" w:type="dxa"/>
            <w:vAlign w:val="center"/>
          </w:tcPr>
          <w:p w14:paraId="63A73A20">
            <w:pPr>
              <w:keepNext w:val="0"/>
              <w:keepLines w:val="0"/>
              <w:widowControl/>
              <w:suppressLineNumbers w:val="0"/>
              <w:autoSpaceDE w:val="0"/>
              <w:autoSpaceDN w:val="0"/>
              <w:jc w:val="left"/>
              <w:rPr>
                <w:rFonts w:ascii="仿宋_GB2312" w:hAnsi="宋体" w:eastAsia="仿宋_GB2312" w:cs="仿宋_GB2312"/>
                <w:color w:val="000000"/>
                <w:kern w:val="0"/>
                <w:sz w:val="24"/>
                <w:szCs w:val="24"/>
                <w:lang w:val="en-US" w:eastAsia="zh-CN" w:bidi="ar"/>
                <w14:ligatures w14:val="standardContextual"/>
              </w:rPr>
            </w:pPr>
            <w:r>
              <w:rPr>
                <w:rFonts w:ascii="仿宋_GB2312" w:hAnsi="宋体" w:eastAsia="仿宋_GB2312" w:cs="仿宋_GB2312"/>
                <w:color w:val="000000"/>
                <w:kern w:val="0"/>
                <w:sz w:val="24"/>
                <w:szCs w:val="24"/>
                <w:lang w:val="en-US" w:eastAsia="zh-CN" w:bidi="ar"/>
                <w14:ligatures w14:val="standardContextual"/>
              </w:rPr>
              <w:t>大学生网络社交圈层化特点与引导策略研究</w:t>
            </w:r>
          </w:p>
        </w:tc>
      </w:tr>
    </w:tbl>
    <w:p w14:paraId="43B52068">
      <w:pPr>
        <w:rPr>
          <w:rFonts w:hint="eastAsia" w:ascii="仿宋_GB2312" w:eastAsia="仿宋_GB2312"/>
          <w:sz w:val="32"/>
          <w:szCs w:val="32"/>
        </w:rPr>
      </w:pP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3057A">
    <w:pPr>
      <w:pStyle w:val="2"/>
      <w:spacing w:before="0" w:line="14" w:lineRule="auto"/>
      <w:rPr>
        <w:rFonts w:hint="eastAsia"/>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3AB16">
    <w:pPr>
      <w:pStyle w:val="4"/>
    </w:pPr>
    <w:bookmarkStart w:id="3" w:name="_GoBack"/>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A4"/>
    <w:rsid w:val="00052CC6"/>
    <w:rsid w:val="00061640"/>
    <w:rsid w:val="00140EAF"/>
    <w:rsid w:val="001A2AA4"/>
    <w:rsid w:val="001F343F"/>
    <w:rsid w:val="00347A8F"/>
    <w:rsid w:val="0039368F"/>
    <w:rsid w:val="004C3593"/>
    <w:rsid w:val="00505C68"/>
    <w:rsid w:val="0059083D"/>
    <w:rsid w:val="005F4C58"/>
    <w:rsid w:val="007C0930"/>
    <w:rsid w:val="008C2A80"/>
    <w:rsid w:val="00A812DE"/>
    <w:rsid w:val="00B52E03"/>
    <w:rsid w:val="00C474AE"/>
    <w:rsid w:val="00C86C3A"/>
    <w:rsid w:val="00CC3841"/>
    <w:rsid w:val="00CF2D0A"/>
    <w:rsid w:val="00D449BB"/>
    <w:rsid w:val="00DA4A9C"/>
    <w:rsid w:val="00DC7898"/>
    <w:rsid w:val="00DE2948"/>
    <w:rsid w:val="00FB377A"/>
    <w:rsid w:val="075A104E"/>
    <w:rsid w:val="0AE03F6D"/>
    <w:rsid w:val="1C8F379E"/>
    <w:rsid w:val="27037C3E"/>
    <w:rsid w:val="330F5022"/>
    <w:rsid w:val="7259173C"/>
    <w:rsid w:val="7AD22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spacing w:before="3"/>
      <w:jc w:val="left"/>
    </w:pPr>
    <w:rPr>
      <w:rFonts w:ascii="方正小标宋简体" w:hAnsi="方正小标宋简体" w:eastAsia="方正小标宋简体" w:cs="方正小标宋简体"/>
      <w:kern w:val="0"/>
      <w:sz w:val="36"/>
      <w:szCs w:val="36"/>
      <w14:ligatures w14:val="none"/>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table" w:customStyle="1" w:styleId="10">
    <w:name w:val="Table Normal"/>
    <w:semiHidden/>
    <w:unhideWhenUsed/>
    <w:qFormat/>
    <w:uiPriority w:val="2"/>
    <w:pPr>
      <w:widowControl w:val="0"/>
      <w:autoSpaceDE w:val="0"/>
      <w:autoSpaceDN w:val="0"/>
    </w:pPr>
    <w:rPr>
      <w:kern w:val="0"/>
      <w:sz w:val="22"/>
      <w:lang w:eastAsia="en-US"/>
      <w14:ligatures w14:val="none"/>
    </w:rPr>
    <w:tblPr>
      <w:tblCellMar>
        <w:top w:w="0" w:type="dxa"/>
        <w:left w:w="0" w:type="dxa"/>
        <w:bottom w:w="0" w:type="dxa"/>
        <w:right w:w="0" w:type="dxa"/>
      </w:tblCellMar>
    </w:tblPr>
  </w:style>
  <w:style w:type="character" w:customStyle="1" w:styleId="11">
    <w:name w:val="正文文本 字符"/>
    <w:basedOn w:val="6"/>
    <w:link w:val="2"/>
    <w:qFormat/>
    <w:uiPriority w:val="1"/>
    <w:rPr>
      <w:rFonts w:ascii="方正小标宋简体" w:hAnsi="方正小标宋简体" w:eastAsia="方正小标宋简体" w:cs="方正小标宋简体"/>
      <w:kern w:val="0"/>
      <w:sz w:val="36"/>
      <w:szCs w:val="36"/>
      <w14:ligatures w14:val="none"/>
    </w:rPr>
  </w:style>
  <w:style w:type="paragraph" w:customStyle="1" w:styleId="12">
    <w:name w:val="Table Paragraph"/>
    <w:basedOn w:val="1"/>
    <w:qFormat/>
    <w:uiPriority w:val="1"/>
    <w:pPr>
      <w:autoSpaceDE w:val="0"/>
      <w:autoSpaceDN w:val="0"/>
      <w:ind w:left="108"/>
      <w:jc w:val="left"/>
    </w:pPr>
    <w:rPr>
      <w:rFonts w:ascii="仿宋_GB2312" w:hAnsi="仿宋_GB2312" w:eastAsia="仿宋_GB2312" w:cs="仿宋_GB2312"/>
      <w:kern w:val="0"/>
      <w:sz w:val="22"/>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695</Words>
  <Characters>721</Characters>
  <Lines>6</Lines>
  <Paragraphs>1</Paragraphs>
  <TotalTime>25</TotalTime>
  <ScaleCrop>false</ScaleCrop>
  <LinksUpToDate>false</LinksUpToDate>
  <CharactersWithSpaces>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2025-11-03T08:45:00Z</dcterms:created>
  <dc:creator>huawei</dc:creator>
  <cp:lastModifiedBy>郑杰</cp:lastModifiedBy>
  <cp:lastPrinted>2026-05-19T02:44:17Z</cp:lastPrinted>
  <dcterms:modified xsi:type="dcterms:W3CDTF">2026-05-19T02:44:25Z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eyJoZGlkIjoiMGZiODE4Njk3ZWMwNDg1ZWM2NDI5MTFlZWJkZjVmYjQiLCJ1c2VySWQiOiIyNDI1MjE1NDAifQ==</vt:lpwstr>
  </property>
  <property fmtid="{D5CDD505-2E9C-101B-9397-08002B2CF9AE}" pid="3" name="KSOProductBuildVer">
    <vt:lpwstr>2052-12.1.0.23542</vt:lpwstr>
  </property>
  <property fmtid="{D5CDD505-2E9C-101B-9397-08002B2CF9AE}" pid="4" name="ICV">
    <vt:lpwstr>53DEA59F99CD4D1F947472844987B30B_12</vt:lpwstr>
  </property>
</Properties>
</file>